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613" w14:textId="4AFD4218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C057E0">
        <w:rPr>
          <w:rFonts w:asciiTheme="majorHAnsi" w:hAnsiTheme="majorHAnsi" w:cstheme="majorHAnsi"/>
          <w:b/>
          <w:sz w:val="24"/>
          <w:szCs w:val="24"/>
        </w:rPr>
        <w:t xml:space="preserve">SEGUNDA 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TITULARES DOS CERTIFICADOS DE RECEBÍVEIS IMOBILIÁRIOS DA 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SÉRIE DA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EMISSÃO DA </w:t>
      </w:r>
      <w:r w:rsidRPr="00471E9F">
        <w:rPr>
          <w:rFonts w:asciiTheme="majorHAnsi" w:hAnsiTheme="majorHAnsi" w:cstheme="majorHAnsi"/>
          <w:b/>
          <w:sz w:val="24"/>
          <w:szCs w:val="24"/>
        </w:rPr>
        <w:t>ORE SECURITIZADORA S.A</w:t>
      </w:r>
    </w:p>
    <w:p w14:paraId="6D479BA3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6F2ABC44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558566E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9C8880C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D182B0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43383A6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5F2599D2" w14:textId="3214A15B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 presente instrução de voto a distância (“Instrução de Voto”) deve ser preenchida caso o titular (“Investidor”) dos 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ª SÉRIE DA 1ª EMISSÃO (“CRI”) DA </w:t>
      </w:r>
      <w:r w:rsidRPr="00471E9F">
        <w:rPr>
          <w:rFonts w:asciiTheme="majorHAnsi" w:hAnsiTheme="majorHAnsi" w:cstheme="majorHAnsi"/>
          <w:bCs/>
          <w:sz w:val="24"/>
          <w:szCs w:val="24"/>
        </w:rPr>
        <w:t>ORE SECURITIZADORA S.A.</w:t>
      </w:r>
      <w:r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emitidos nos termos do “Termo de Securitização de C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C63A7C">
        <w:rPr>
          <w:rFonts w:asciiTheme="majorHAnsi" w:hAnsiTheme="majorHAnsi" w:cstheme="majorHAnsi"/>
          <w:bCs/>
          <w:sz w:val="24"/>
          <w:szCs w:val="24"/>
        </w:rPr>
        <w:t>ª Série da 1ª Emissão da O</w:t>
      </w:r>
      <w:r>
        <w:rPr>
          <w:rFonts w:asciiTheme="majorHAnsi" w:hAnsiTheme="majorHAnsi" w:cstheme="majorHAnsi"/>
          <w:bCs/>
          <w:sz w:val="24"/>
          <w:szCs w:val="24"/>
        </w:rPr>
        <w:t>re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63A7C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Pr="00C63A7C">
        <w:rPr>
          <w:rFonts w:asciiTheme="majorHAnsi" w:hAnsiTheme="majorHAnsi" w:cstheme="majorHAnsi"/>
          <w:bCs/>
          <w:sz w:val="24"/>
          <w:szCs w:val="24"/>
        </w:rPr>
        <w:t xml:space="preserve"> S.A.”</w:t>
      </w:r>
      <w:r w:rsidRPr="00C63A7C">
        <w:rPr>
          <w:rFonts w:asciiTheme="majorHAnsi" w:hAnsiTheme="majorHAnsi" w:cstheme="majorHAnsi"/>
          <w:sz w:val="24"/>
          <w:szCs w:val="24"/>
        </w:rPr>
        <w:t xml:space="preserve">, distribuídos nos Termos da Instrução CVM nº 476/09, opte por exercer o seu direito de </w:t>
      </w:r>
      <w:r w:rsidRPr="00294282">
        <w:rPr>
          <w:rFonts w:asciiTheme="majorHAnsi" w:hAnsiTheme="majorHAnsi" w:cstheme="majorHAnsi"/>
          <w:sz w:val="24"/>
          <w:szCs w:val="24"/>
        </w:rPr>
        <w:t xml:space="preserve">voto a distância, nos termos da </w:t>
      </w:r>
      <w:r>
        <w:rPr>
          <w:rFonts w:asciiTheme="majorHAnsi" w:hAnsiTheme="majorHAnsi" w:cstheme="majorHAnsi"/>
          <w:sz w:val="24"/>
          <w:szCs w:val="24"/>
        </w:rPr>
        <w:t>Resolução</w:t>
      </w:r>
      <w:r w:rsidRPr="00294282">
        <w:rPr>
          <w:rFonts w:asciiTheme="majorHAnsi" w:hAnsiTheme="majorHAnsi" w:cstheme="majorHAnsi"/>
          <w:sz w:val="24"/>
          <w:szCs w:val="24"/>
        </w:rPr>
        <w:t xml:space="preserve"> da Comissão de Valores Mobiliários nº </w:t>
      </w:r>
      <w:r>
        <w:rPr>
          <w:rFonts w:asciiTheme="majorHAnsi" w:hAnsiTheme="majorHAnsi" w:cstheme="majorHAnsi"/>
          <w:sz w:val="24"/>
          <w:szCs w:val="24"/>
        </w:rPr>
        <w:t>60</w:t>
      </w:r>
      <w:r w:rsidRPr="00294282">
        <w:rPr>
          <w:rFonts w:asciiTheme="majorHAnsi" w:hAnsiTheme="majorHAnsi" w:cstheme="majorHAnsi"/>
          <w:sz w:val="24"/>
          <w:szCs w:val="24"/>
        </w:rPr>
        <w:t xml:space="preserve">, de </w:t>
      </w:r>
      <w:r>
        <w:rPr>
          <w:rFonts w:asciiTheme="majorHAnsi" w:hAnsiTheme="majorHAnsi" w:cstheme="majorHAnsi"/>
          <w:sz w:val="24"/>
          <w:szCs w:val="24"/>
        </w:rPr>
        <w:t>23 de dezembro de 2021</w:t>
      </w:r>
      <w:r w:rsidRPr="00294282">
        <w:rPr>
          <w:rFonts w:asciiTheme="majorHAnsi" w:hAnsiTheme="majorHAnsi" w:cstheme="majorHAnsi"/>
          <w:sz w:val="24"/>
          <w:szCs w:val="24"/>
        </w:rPr>
        <w:t xml:space="preserve"> (“Instrução CVM 625”), na Primeira Assembleia Geral de Titulares dos CRI, agendada </w:t>
      </w:r>
      <w:r w:rsidRPr="00C63A7C">
        <w:rPr>
          <w:rFonts w:asciiTheme="majorHAnsi" w:hAnsiTheme="majorHAnsi" w:cstheme="majorHAnsi"/>
          <w:sz w:val="24"/>
          <w:szCs w:val="24"/>
        </w:rPr>
        <w:t xml:space="preserve">para o dia </w:t>
      </w:r>
      <w:r w:rsidR="00C057E0">
        <w:rPr>
          <w:rFonts w:asciiTheme="majorHAnsi" w:hAnsiTheme="majorHAnsi" w:cstheme="majorHAnsi"/>
          <w:sz w:val="24"/>
          <w:szCs w:val="24"/>
        </w:rPr>
        <w:t>13</w:t>
      </w:r>
      <w:r w:rsidR="00B00ED9">
        <w:rPr>
          <w:rFonts w:asciiTheme="majorHAnsi" w:hAnsiTheme="majorHAnsi" w:cstheme="majorHAnsi"/>
          <w:sz w:val="24"/>
          <w:szCs w:val="24"/>
        </w:rPr>
        <w:t xml:space="preserve"> de </w:t>
      </w:r>
      <w:r w:rsidR="00C057E0">
        <w:rPr>
          <w:rFonts w:asciiTheme="majorHAnsi" w:hAnsiTheme="majorHAnsi" w:cstheme="majorHAnsi"/>
          <w:sz w:val="24"/>
          <w:szCs w:val="24"/>
        </w:rPr>
        <w:t>abril</w:t>
      </w:r>
      <w:r w:rsidR="00B00ED9">
        <w:rPr>
          <w:rFonts w:asciiTheme="majorHAnsi" w:hAnsiTheme="majorHAnsi" w:cstheme="majorHAnsi"/>
          <w:sz w:val="24"/>
          <w:szCs w:val="24"/>
        </w:rPr>
        <w:t xml:space="preserve"> de 2023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B00ED9">
        <w:rPr>
          <w:rFonts w:asciiTheme="majorHAnsi" w:hAnsiTheme="majorHAnsi" w:cstheme="majorHAnsi"/>
          <w:sz w:val="24"/>
          <w:szCs w:val="24"/>
        </w:rPr>
        <w:t>1</w:t>
      </w:r>
      <w:r w:rsidR="00C057E0">
        <w:rPr>
          <w:rFonts w:asciiTheme="majorHAnsi" w:hAnsiTheme="majorHAnsi" w:cstheme="majorHAnsi"/>
          <w:sz w:val="24"/>
          <w:szCs w:val="24"/>
        </w:rPr>
        <w:t>5</w:t>
      </w:r>
      <w:r w:rsidR="00B00ED9">
        <w:rPr>
          <w:rFonts w:asciiTheme="majorHAnsi" w:hAnsiTheme="majorHAnsi" w:cstheme="majorHAnsi"/>
          <w:sz w:val="24"/>
          <w:szCs w:val="24"/>
        </w:rPr>
        <w:t>:00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horas (“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AGT”). Nesse sentido, é imprescindível que os campos acima sejam preenchidos com o nome (ou denominação social) completo do Investidor e seu número do Cadastro no Ministério da Economia, seja de pessoa jurídica (CNPJ) ou de pessoa física (CPF), além de um endereço de e-mail para eventual contato.  </w:t>
      </w:r>
    </w:p>
    <w:p w14:paraId="408AF8A9" w14:textId="11DA0439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</w:t>
      </w:r>
    </w:p>
    <w:p w14:paraId="2E725066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72832D3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2D69D6B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 Investidor 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505E242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9D126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12D7E265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7F150285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0EB39B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230D34E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CB425FD" w14:textId="0E2EE61A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que optar por exercer o seu direito de voto a distância deverá enviar os seguintes documentos diretamente para o endereço eletrônico do Agente Fiduciário </w:t>
      </w:r>
      <w:r>
        <w:rPr>
          <w:rFonts w:asciiTheme="majorHAnsi" w:hAnsiTheme="majorHAnsi" w:cstheme="majorHAnsi"/>
          <w:sz w:val="24"/>
          <w:szCs w:val="24"/>
        </w:rPr>
        <w:t xml:space="preserve">e da Emissora </w:t>
      </w:r>
      <w:r w:rsidRPr="00C63A7C">
        <w:rPr>
          <w:rFonts w:asciiTheme="majorHAnsi" w:hAnsiTheme="majorHAnsi" w:cstheme="majorHAnsi"/>
          <w:sz w:val="24"/>
          <w:szCs w:val="24"/>
        </w:rPr>
        <w:t>abaixo indicado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, com a antecedência mínima de 48 (quarenta e oito) horas da realização da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 </w:t>
      </w:r>
    </w:p>
    <w:p w14:paraId="3622361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59823918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Investidor outorgante; e  </w:t>
      </w:r>
    </w:p>
    <w:p w14:paraId="73D529A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53ABE70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Investidor ou de seu representante legal, conforme o caso.  </w:t>
      </w:r>
    </w:p>
    <w:p w14:paraId="04C9C43E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Investidor; e documento de identidade válido com foto do representante legal. </w:t>
      </w:r>
    </w:p>
    <w:p w14:paraId="4B7A3ED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2BC8858F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B88A2D" w14:textId="0B577FFC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 será por Instrução de Voto para fins de participação na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>ª AGT ou participação por plataforma digital.</w:t>
      </w:r>
    </w:p>
    <w:p w14:paraId="3099C846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A4FCC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5282F001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 Investidor deverá direcionar sua Instrução de Voto para 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>
        <w:rPr>
          <w:rFonts w:asciiTheme="majorHAnsi" w:hAnsiTheme="majorHAnsi" w:cstheme="majorHAnsi"/>
          <w:sz w:val="24"/>
          <w:szCs w:val="24"/>
        </w:rPr>
        <w:t>s:</w:t>
      </w:r>
    </w:p>
    <w:p w14:paraId="043E44A9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Pr="00172608">
          <w:rPr>
            <w:rFonts w:asciiTheme="majorHAnsi" w:hAnsiTheme="majorHAnsi" w:cstheme="majorHAnsi"/>
            <w:sz w:val="24"/>
            <w:szCs w:val="24"/>
          </w:rPr>
          <w:t>fiduciario@commcor.com.br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DCC941" w14:textId="77777777" w:rsidR="003C64AA" w:rsidRPr="00DC601D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Emissora: </w:t>
      </w:r>
      <w:hyperlink r:id="rId5" w:history="1">
        <w:r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psalomao@fator.com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>.br</w:t>
      </w:r>
      <w:r>
        <w:rPr>
          <w:rFonts w:asciiTheme="majorHAnsi" w:hAnsiTheme="majorHAnsi" w:cstheme="majorHAnsi"/>
          <w:sz w:val="24"/>
          <w:szCs w:val="24"/>
        </w:rPr>
        <w:t xml:space="preserve"> e </w:t>
      </w:r>
      <w:hyperlink r:id="rId6" w:history="1">
        <w:r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jfreitas@fator.com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>.br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21B5DB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04A53F9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E8440E3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2BA1E9B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34E77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</w:t>
      </w:r>
      <w:r>
        <w:rPr>
          <w:rFonts w:asciiTheme="majorHAnsi" w:hAnsiTheme="majorHAnsi" w:cstheme="majorHAnsi"/>
          <w:sz w:val="24"/>
          <w:szCs w:val="24"/>
        </w:rPr>
        <w:t>T</w:t>
      </w:r>
    </w:p>
    <w:p w14:paraId="5DA195AD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AF803F0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51362">
        <w:rPr>
          <w:rFonts w:asciiTheme="majorHAnsi" w:hAnsiTheme="majorHAnsi" w:cstheme="majorHAnsi"/>
          <w:sz w:val="24"/>
          <w:szCs w:val="24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7BBCBDB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3A8856D8" w14:textId="4EBA9C57" w:rsidR="003C64AA" w:rsidRPr="00172608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C057E0" w:rsidRPr="00C057E0">
        <w:rPr>
          <w:rFonts w:asciiTheme="majorHAnsi" w:hAnsiTheme="majorHAnsi" w:cstheme="majorHAnsi"/>
          <w:sz w:val="24"/>
          <w:szCs w:val="24"/>
        </w:rPr>
        <w:t>aprovação para que o Valor Mínimo do Fundo de Liquidez seja alterado para o equivalente à estimativa de valor da parcela de Remuneração imediatamente subsequente a data de pagamento, conforme Cronograma de Pagamentos;</w:t>
      </w:r>
      <w:r w:rsidRPr="001726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85E7C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73CD6F7E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B3B3AAC" w14:textId="14695851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C057E0" w:rsidRPr="00C057E0">
        <w:rPr>
          <w:rFonts w:asciiTheme="majorHAnsi" w:hAnsiTheme="majorHAnsi" w:cstheme="majorHAnsi"/>
          <w:sz w:val="24"/>
          <w:szCs w:val="24"/>
        </w:rPr>
        <w:t xml:space="preserve">aprovação para que o montante equivalente a 10% (dez por cento) de todas as Liberações, seja retido pela </w:t>
      </w:r>
      <w:proofErr w:type="spellStart"/>
      <w:r w:rsidR="00C057E0" w:rsidRPr="00C057E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C057E0" w:rsidRPr="00C057E0">
        <w:rPr>
          <w:rFonts w:asciiTheme="majorHAnsi" w:hAnsiTheme="majorHAnsi" w:cstheme="majorHAnsi"/>
          <w:sz w:val="24"/>
          <w:szCs w:val="24"/>
        </w:rPr>
        <w:t xml:space="preserve"> e seja destinado para incremento do Fundo de Liquidez</w:t>
      </w:r>
      <w:r w:rsidRPr="00172608">
        <w:rPr>
          <w:rFonts w:asciiTheme="majorHAnsi" w:hAnsiTheme="majorHAnsi" w:cstheme="majorHAnsi"/>
          <w:sz w:val="24"/>
          <w:szCs w:val="24"/>
        </w:rPr>
        <w:t>;</w:t>
      </w: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46A2BE" w14:textId="77777777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22DE06BA" w14:textId="021E1B9F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40B483" w14:textId="08B1CF84" w:rsidR="00D93211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00ED9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00ED9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B00ED9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ab/>
      </w:r>
      <w:r w:rsidR="00C057E0" w:rsidRPr="00C057E0">
        <w:rPr>
          <w:rFonts w:asciiTheme="majorHAnsi" w:hAnsiTheme="majorHAnsi" w:cstheme="majorHAnsi"/>
          <w:sz w:val="24"/>
          <w:szCs w:val="24"/>
        </w:rPr>
        <w:t xml:space="preserve">aprovação para que, na hipótese de a </w:t>
      </w:r>
      <w:proofErr w:type="spellStart"/>
      <w:r w:rsidR="00C057E0" w:rsidRPr="00C057E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C057E0" w:rsidRPr="00C057E0">
        <w:rPr>
          <w:rFonts w:asciiTheme="majorHAnsi" w:hAnsiTheme="majorHAnsi" w:cstheme="majorHAnsi"/>
          <w:sz w:val="24"/>
          <w:szCs w:val="24"/>
        </w:rPr>
        <w:t xml:space="preserve"> verificar que o Valor Mínimo do Fundo de Liquidez esteja desatendido, a </w:t>
      </w:r>
      <w:proofErr w:type="spellStart"/>
      <w:r w:rsidR="00C057E0" w:rsidRPr="00C057E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C057E0" w:rsidRPr="00C057E0">
        <w:rPr>
          <w:rFonts w:asciiTheme="majorHAnsi" w:hAnsiTheme="majorHAnsi" w:cstheme="majorHAnsi"/>
          <w:sz w:val="24"/>
          <w:szCs w:val="24"/>
        </w:rPr>
        <w:t xml:space="preserve"> deva transferir o montante equivalente a 0,40% (quarenta centésimos por cento) do Fundo de Obras para o Fundo de Liquidez, sendo certo que as eventuais transferências do Fundo de Obras para o Fundo de Liquidez deverão ser realizadas observando intervalo temporal mínimo de 1 (um) mês em relação à transferência imediatamente anterior</w:t>
      </w:r>
      <w:r w:rsidR="00D93211">
        <w:rPr>
          <w:rFonts w:asciiTheme="majorHAnsi" w:hAnsiTheme="majorHAnsi" w:cstheme="majorHAnsi"/>
          <w:sz w:val="24"/>
          <w:szCs w:val="24"/>
        </w:rPr>
        <w:t>;</w:t>
      </w:r>
      <w:r w:rsidR="00D93211" w:rsidRPr="00D932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D4DC451" w14:textId="4156FD50" w:rsidR="00B00ED9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01D1DFFD" w14:textId="6E5E7774" w:rsidR="00B00ED9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240DE23" w14:textId="52CAD263" w:rsidR="00C057E0" w:rsidRDefault="00C057E0" w:rsidP="00C05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>
        <w:rPr>
          <w:rFonts w:asciiTheme="majorHAnsi" w:hAnsiTheme="majorHAnsi" w:cstheme="majorHAnsi"/>
          <w:sz w:val="24"/>
          <w:szCs w:val="24"/>
        </w:rPr>
        <w:t>iv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Pr="00C057E0">
        <w:rPr>
          <w:rFonts w:asciiTheme="majorHAnsi" w:hAnsiTheme="majorHAnsi" w:cstheme="majorHAnsi"/>
          <w:sz w:val="24"/>
          <w:szCs w:val="24"/>
        </w:rPr>
        <w:t>a autorização para que a Liberação não sofra retenção à título de compensação por atraso na evolução físico-financeira da obra do Empreendimento Imobiliário equivalente a até, no máximo, 3,0% (três por cento) do valor total orçado para a referida obra, quando comparado com o avanço acumulado esperado da evolução físico-financeira da obra do Empreendimento Imobiliário à luz do saldo acumulado dos valores liberados no âmbito das Liberações até a data em que o Agente de Avaliação enviar o Relatório de Medição de Obras corresponde ao mês em que será realizado à Liberação em questão</w:t>
      </w:r>
      <w:r w:rsidRPr="00172608">
        <w:rPr>
          <w:rFonts w:asciiTheme="majorHAnsi" w:hAnsiTheme="majorHAnsi" w:cstheme="majorHAnsi"/>
          <w:sz w:val="24"/>
          <w:szCs w:val="24"/>
        </w:rPr>
        <w:t>;</w:t>
      </w: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96981E" w14:textId="77777777" w:rsidR="00C057E0" w:rsidRDefault="00C057E0" w:rsidP="00C05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9197F99" w14:textId="2FEEC9CA" w:rsidR="00C057E0" w:rsidRDefault="00C057E0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20709BA" w14:textId="78B48ED4" w:rsidR="00C057E0" w:rsidRDefault="00C057E0" w:rsidP="00C05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v</w:t>
      </w:r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Pr="00C057E0">
        <w:rPr>
          <w:rFonts w:asciiTheme="majorHAnsi" w:hAnsiTheme="majorHAnsi" w:cstheme="majorHAnsi"/>
          <w:sz w:val="24"/>
          <w:szCs w:val="24"/>
        </w:rPr>
        <w:t xml:space="preserve">a prorrogação, em mais 60 (sessenta) dias a contar da presente data, para apresentação do Contrato de Alienação do Fiduciária de Imóvel Empreendimento Imobiliário devidamente registrado perante o Cartório de Registro de Imóvel competente, sendo certo que: (v.1) até que haja o efetivo registro do referido instrumento, as Liberações poderão ser implementadas, havendo a dispensa da dispensa </w:t>
      </w:r>
      <w:r w:rsidRPr="00C057E0">
        <w:rPr>
          <w:rFonts w:asciiTheme="majorHAnsi" w:hAnsiTheme="majorHAnsi" w:cstheme="majorHAnsi"/>
          <w:sz w:val="24"/>
          <w:szCs w:val="24"/>
        </w:rPr>
        <w:lastRenderedPageBreak/>
        <w:t>prevista no item (</w:t>
      </w:r>
      <w:proofErr w:type="spellStart"/>
      <w:r w:rsidRPr="00C057E0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057E0">
        <w:rPr>
          <w:rFonts w:asciiTheme="majorHAnsi" w:hAnsiTheme="majorHAnsi" w:cstheme="majorHAnsi"/>
          <w:sz w:val="24"/>
          <w:szCs w:val="24"/>
        </w:rPr>
        <w:t>) da cláusula 4.12 da Nota Comercial referente a Condições Precedentes à Liberação; e (v.2) caso não seja apresentado a comprovação do efetivo registro do Contrato de Alienação do Fiduciária de Imóvel Empreendimento Imobiliário perante o Cartório de Registro de Imóvel competente, será possível a caracterização de Evento de Vencimento Antecipado; e</w:t>
      </w:r>
    </w:p>
    <w:p w14:paraId="230D0036" w14:textId="77777777" w:rsidR="00C057E0" w:rsidRDefault="00C057E0" w:rsidP="00C05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76C01588" w14:textId="77777777" w:rsidR="00C057E0" w:rsidRDefault="00C057E0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B4CDC9" w14:textId="2DEC3A56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C057E0">
        <w:rPr>
          <w:rFonts w:asciiTheme="majorHAnsi" w:hAnsiTheme="majorHAnsi" w:cstheme="majorHAnsi"/>
          <w:sz w:val="24"/>
          <w:szCs w:val="24"/>
        </w:rPr>
        <w:t>vi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ab/>
      </w:r>
      <w:r w:rsidR="00C057E0" w:rsidRPr="00C057E0">
        <w:rPr>
          <w:rFonts w:asciiTheme="majorHAnsi" w:hAnsiTheme="majorHAnsi" w:cstheme="majorHAnsi"/>
          <w:sz w:val="24"/>
          <w:szCs w:val="24"/>
        </w:rPr>
        <w:t xml:space="preserve">a autorização para a </w:t>
      </w:r>
      <w:proofErr w:type="spellStart"/>
      <w:r w:rsidR="00C057E0" w:rsidRPr="00C057E0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C057E0" w:rsidRPr="00C057E0">
        <w:rPr>
          <w:rFonts w:asciiTheme="majorHAnsi" w:hAnsiTheme="majorHAnsi" w:cstheme="majorHAnsi"/>
          <w:sz w:val="24"/>
          <w:szCs w:val="24"/>
        </w:rPr>
        <w:t>, em conjunto com o Agente Fiduciário, realizarem todos os atos necessários para a implementação das deliberações da presente 2ª AGT, incluindo, mas não se limitando, a celebração de eventuais aditamentos.</w:t>
      </w:r>
    </w:p>
    <w:p w14:paraId="4547650C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5EFC4CB5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17A34F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5E0C239" w14:textId="3BA8082C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declara concordar que, desde que o seu conteúdo não tenha sido alterado, a presente Instrução de Voto poderá ser utilizada quando da realização ou retomada da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AGT, bem como na hipótese de sua realização em segunda convocação, caso 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>ª AGT seja suspensa, adiada, ou não seja instalada em primeira convocação, mantendo-se válidas e em vigor as instruções de voto aqui previstas.</w:t>
      </w:r>
    </w:p>
    <w:p w14:paraId="4A87EB35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5B573CA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CBF8C51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6E69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B79805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DF7C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47585E05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241BCAE6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Investidor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59438E4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71B62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8E53C93" w14:textId="77777777" w:rsidR="00785D18" w:rsidRDefault="00785D18"/>
    <w:sectPr w:rsidR="0078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A"/>
    <w:rsid w:val="003C64AA"/>
    <w:rsid w:val="00785D18"/>
    <w:rsid w:val="00B00ED9"/>
    <w:rsid w:val="00C057E0"/>
    <w:rsid w:val="00D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030"/>
  <w15:chartTrackingRefBased/>
  <w15:docId w15:val="{F96B5C6E-3D5A-4456-97AF-94AEFCB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reitas@fator.com" TargetMode="External"/><Relationship Id="rId5" Type="http://schemas.openxmlformats.org/officeDocument/2006/relationships/hyperlink" Target="mailto:psalomao@fator.com" TargetMode="External"/><Relationship Id="rId4" Type="http://schemas.openxmlformats.org/officeDocument/2006/relationships/hyperlink" Target="mailto:fiduciario@commc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Leitao | Fator</dc:creator>
  <cp:keywords/>
  <dc:description/>
  <cp:lastModifiedBy>Priscila Bianchi Salomao | Fator</cp:lastModifiedBy>
  <cp:revision>2</cp:revision>
  <dcterms:created xsi:type="dcterms:W3CDTF">2023-03-24T13:57:00Z</dcterms:created>
  <dcterms:modified xsi:type="dcterms:W3CDTF">2023-03-24T13:57:00Z</dcterms:modified>
</cp:coreProperties>
</file>